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81" w:rsidRPr="00D22881" w:rsidRDefault="00D22881" w:rsidP="00D22881">
      <w:pPr>
        <w:spacing w:after="0"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Comic Sans MS" w:eastAsia="Times New Roman" w:hAnsi="Comic Sans MS" w:cs="Arial"/>
          <w:b/>
          <w:bCs/>
          <w:color w:val="CC106B"/>
          <w:sz w:val="81"/>
          <w:szCs w:val="81"/>
          <w:bdr w:val="none" w:sz="0" w:space="0" w:color="auto" w:frame="1"/>
          <w:lang w:val="ru-RU"/>
        </w:rPr>
        <w:t xml:space="preserve">         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CC106B"/>
          <w:sz w:val="28"/>
          <w:szCs w:val="28"/>
          <w:bdr w:val="none" w:sz="0" w:space="0" w:color="auto" w:frame="1"/>
          <w:lang w:val="ru-RU"/>
        </w:rPr>
        <w:t>Протидія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CC106B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CC106B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Шановні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учасники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!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Набув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чинності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Закон</w:t>
      </w:r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протидії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A105A6"/>
          <w:kern w:val="36"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bCs/>
          <w:color w:val="0AA605"/>
          <w:kern w:val="36"/>
          <w:sz w:val="28"/>
          <w:szCs w:val="28"/>
          <w:bdr w:val="none" w:sz="0" w:space="0" w:color="auto" w:frame="1"/>
          <w:lang w:val="ru-RU"/>
        </w:rPr>
        <w:t>​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19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січня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2019 року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набув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чинності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Закон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18.12.2019 року №2657-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VIII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"Про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внесення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змін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деяких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законодавчих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актів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протидії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цькуванню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)"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​</w:t>
      </w:r>
      <w:hyperlink r:id="rId5" w:tgtFrame="_blank" w:history="1"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</w:rPr>
          <w:t>https</w:t>
        </w:r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  <w:lang w:val="ru-RU"/>
          </w:rPr>
          <w:t>://</w:t>
        </w:r>
        <w:proofErr w:type="spellStart"/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</w:rPr>
          <w:t>zakon</w:t>
        </w:r>
        <w:proofErr w:type="spellEnd"/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</w:rPr>
          <w:t>rada</w:t>
        </w:r>
        <w:proofErr w:type="spellEnd"/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</w:rPr>
          <w:t>gov</w:t>
        </w:r>
        <w:proofErr w:type="spellEnd"/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  <w:lang w:val="ru-RU"/>
          </w:rPr>
          <w:t>.</w:t>
        </w:r>
        <w:proofErr w:type="spellStart"/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</w:rPr>
          <w:t>ua</w:t>
        </w:r>
        <w:proofErr w:type="spellEnd"/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  <w:lang w:val="ru-RU"/>
          </w:rPr>
          <w:t>/</w:t>
        </w:r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</w:rPr>
          <w:t>laws</w:t>
        </w:r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  <w:lang w:val="ru-RU"/>
          </w:rPr>
          <w:t>/</w:t>
        </w:r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</w:rPr>
          <w:t>show</w:t>
        </w:r>
        <w:r w:rsidRPr="00D22881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u w:val="single"/>
            <w:bdr w:val="none" w:sz="0" w:space="0" w:color="auto" w:frame="1"/>
            <w:lang w:val="ru-RU"/>
          </w:rPr>
          <w:t>/2657-19</w:t>
        </w:r>
      </w:hyperlink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​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ab/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) -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це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діяння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дії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бездіяльність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учасників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полягають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психологічному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фізичному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економічному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сексуальному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насильстві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у тому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числі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із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застосуванням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засобів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електронних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комунікацій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вчиняються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стосовно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малолітньої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неповнолітньої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особи та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) такою особою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стосовно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учасників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внаслідок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чого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могла бути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була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заподіяна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шкода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психічному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фізичному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здоровю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потерпілого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Типовими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ознаками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) є: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-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систематичність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повторюваність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діяння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);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наявність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сторін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-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кривдник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буллер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),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потерпілий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(жертва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),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спостерігачі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(за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наявності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);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-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дії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бездіяльність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кривдника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наслідком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яких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є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заподіяння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психічної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та/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фізичної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шкоди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приниження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страх,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тривога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підпорядкування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потерпілого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інтересам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кривдника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та/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спричиненняф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соціальної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ізоляції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потерпілого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​</w:t>
      </w:r>
      <w:proofErr w:type="spellStart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Булінг</w:t>
      </w:r>
      <w:proofErr w:type="spellEnd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може</w:t>
      </w:r>
      <w:proofErr w:type="spellEnd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виявлятися</w:t>
      </w:r>
      <w:proofErr w:type="spellEnd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багатьох</w:t>
      </w:r>
      <w:proofErr w:type="spellEnd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формах.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  </w:t>
      </w:r>
      <w:proofErr w:type="spellStart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Він</w:t>
      </w:r>
      <w:proofErr w:type="spellEnd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може</w:t>
      </w:r>
      <w:proofErr w:type="spellEnd"/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бути:</w:t>
      </w:r>
    </w:p>
    <w:p w:rsidR="00D22881" w:rsidRPr="00D22881" w:rsidRDefault="00D22881" w:rsidP="00D22881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фізичним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завдання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ударів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штовхання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пошкодження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крадіжка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власності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словесним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обзивання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глузування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висловлювання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якими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ображається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стать, раса і т.д.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D22881" w:rsidRPr="00D22881" w:rsidRDefault="00D22881" w:rsidP="00D22881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соціальним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виключення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із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групи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розповсюдження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пліток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чуток ;</w:t>
      </w:r>
      <w:proofErr w:type="gramEnd"/>
    </w:p>
    <w:p w:rsidR="00D22881" w:rsidRPr="00D22881" w:rsidRDefault="00D22881" w:rsidP="00D22881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в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письмовій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формі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–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написання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записок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знаків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є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болючими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образливими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D22881" w:rsidRPr="00D22881" w:rsidRDefault="00D22881" w:rsidP="00D22881">
      <w:pPr>
        <w:numPr>
          <w:ilvl w:val="0"/>
          <w:numId w:val="5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електронним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загальновідомий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як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кібербулінг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–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розповсюдження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чуток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образливих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коментарів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використанням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електронної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пошти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мобільних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телефонів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наприклад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надсилання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СМС) і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сайтів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соціальних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мереж.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​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​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​</w:t>
      </w:r>
    </w:p>
    <w:p w:rsid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</w:pP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lastRenderedPageBreak/>
        <w:t>Завдання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щодо</w:t>
      </w:r>
      <w:proofErr w:type="spellEnd"/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запобігання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бул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інгу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покладені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на дитячий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садок :</w:t>
      </w:r>
      <w:proofErr w:type="gramEnd"/>
    </w:p>
    <w:p w:rsid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​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/>
        </w:rPr>
        <w:t>Директор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має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забезпеч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увати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створення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у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дитячому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садку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безпечного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середовища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вільного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насильства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), у тому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числі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: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​-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розглядати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заяви про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випадки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)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здобувачів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їхніх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батьків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законних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представників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видавати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рішення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проведення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розслідування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​-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забезпечувати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виконання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заходів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надання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соціальних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та психолого-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послуг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здобувачам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освіти</w:t>
      </w:r>
      <w:proofErr w:type="gram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,які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вчинили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стали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його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свідками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постраждали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);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​-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повідомляти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уповноваженим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підрозділам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органів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Національної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поліції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службі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 справах</w:t>
      </w:r>
      <w:proofErr w:type="gram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випадки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) у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закладі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Порядок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подання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розгляду</w:t>
      </w:r>
      <w:proofErr w:type="spellEnd"/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(з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дотриманням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конфідеційності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)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заяв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випадки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Педагогічні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працівники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зобовязані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повідомляти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керівництво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закладу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 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про</w:t>
      </w:r>
      <w:proofErr w:type="gram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 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факти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стосовно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здобувачів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та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залучаються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до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свідком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якого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вони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особисто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інформацію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про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отримали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вживати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невідкладних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заходів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для</w:t>
      </w: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припинення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>).</w:t>
      </w:r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Учасником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педагогічні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працівники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, батьки) на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ім"я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директора закладу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подається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заява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випадок</w:t>
      </w:r>
      <w:proofErr w:type="spellEnd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</w:p>
    <w:p w:rsidR="00D22881" w:rsidRPr="00D22881" w:rsidRDefault="00D22881" w:rsidP="00D22881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 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proofErr w:type="gram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Порядок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реагування</w:t>
      </w:r>
      <w:proofErr w:type="spellEnd"/>
      <w:proofErr w:type="gramEnd"/>
    </w:p>
    <w:p w:rsidR="00D22881" w:rsidRPr="00D22881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proofErr w:type="gram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на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доведені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випадки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</w:p>
    <w:p w:rsidR="00D22881" w:rsidRPr="00D22881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proofErr w:type="gram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та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відповідальності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причетних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до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1.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заяви про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випадок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керівник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закладу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видає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рішення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проведення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розслідування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із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визначенням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уповноважених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2.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Наказом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керівника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закладу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по ЗДО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пишеться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наказ про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створення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розгляду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випадків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за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участі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директора,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педагогічних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працівників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психолога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батьків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потерпілого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булера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зацікавлених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3D44F3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3.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Розглянувши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письмову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заяву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керівник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закладу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скликає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засідання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комісії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розгляду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випадків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окреслює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подальші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дії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  <w:r w:rsidRPr="003D44F3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4.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протягом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однієї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доби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проводить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розслідування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’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ясовує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всі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обставини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та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приймає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відповідне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рішення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D22881">
        <w:rPr>
          <w:rFonts w:ascii="Times New Roman" w:eastAsia="Times New Roman" w:hAnsi="Times New Roman" w:cs="Times New Roman"/>
          <w:sz w:val="28"/>
          <w:szCs w:val="28"/>
        </w:rPr>
        <w:br/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5.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умови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визнання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Комісією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результатів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розслідування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фактом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керівнико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світньої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установи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протягом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однієї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доби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повідомляє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уповноважені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підрозділи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органів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Національної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поліції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ювенальну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поліцію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),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Службу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справах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D22881">
        <w:rPr>
          <w:rFonts w:ascii="Times New Roman" w:eastAsia="Times New Roman" w:hAnsi="Times New Roman" w:cs="Times New Roman"/>
          <w:sz w:val="28"/>
          <w:szCs w:val="28"/>
        </w:rPr>
        <w:br/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6.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Рішення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розгляду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випадків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боулінгу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реєструється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окремому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журналі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паперовий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вигляд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оригіналами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підписів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усіх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її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членів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D22881">
        <w:rPr>
          <w:rFonts w:ascii="Times New Roman" w:eastAsia="Times New Roman" w:hAnsi="Times New Roman" w:cs="Times New Roman"/>
          <w:sz w:val="28"/>
          <w:szCs w:val="28"/>
        </w:rPr>
        <w:br/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7.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разі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визнання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Комісією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факту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незгоди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результатами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рішення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потерпілим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його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представником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керівник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освітньої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установи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рекомендує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звернутись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постраждалому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його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представнику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із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заявою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органів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Національної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поліції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D22881">
        <w:rPr>
          <w:rFonts w:ascii="Times New Roman" w:eastAsia="Times New Roman" w:hAnsi="Times New Roman" w:cs="Times New Roman"/>
          <w:sz w:val="28"/>
          <w:szCs w:val="28"/>
        </w:rPr>
        <w:br/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будь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якого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рішення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Комісії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розгляду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питань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випадків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керівник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закладу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забезпечує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психологічну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підтримку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усіх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учасників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відповідного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D22881" w:rsidRPr="00D22881" w:rsidRDefault="00D22881" w:rsidP="00D22881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Особи,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за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результатами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розслідування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є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причетними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до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несуть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відповідальність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відповідно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Статті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173-4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Кодексу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про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адмін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правопорушення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учасника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),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а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саме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: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​</w:t>
      </w:r>
    </w:p>
    <w:p w:rsidR="00D22881" w:rsidRPr="00D22881" w:rsidRDefault="00D22881" w:rsidP="00D22881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накладення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штрафу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п’ятдесяти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ста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неоподатковуваних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мінімумів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доходів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громадян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громадські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 строк</w:t>
      </w:r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двадцяти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сорока годин –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якщо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цькували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вперше</w:t>
      </w:r>
      <w:proofErr w:type="spellEnd"/>
    </w:p>
    <w:p w:rsidR="00D22881" w:rsidRPr="00D22881" w:rsidRDefault="00D22881" w:rsidP="00D22881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накладення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штрафу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ста 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двохсот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неоподатковуваних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мінімумів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доходів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громадян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громадські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на строк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сорока 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шістдесяти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годин,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якщо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вчинили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повторно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знущалась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група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осіб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numPr>
          <w:ilvl w:val="0"/>
          <w:numId w:val="6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Неповідомлення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керівником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закладу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уповноваженим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підрозділам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органів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Національної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поліції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України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випадки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учасника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-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тягне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 собою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накладення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штрафу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п’ятдесяти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ста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неоподатковуваних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мінімумів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доходів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громадян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виправні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 строк</w:t>
      </w:r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одного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місяця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відрахуванням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двадцяти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процентів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заробітку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​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​</w:t>
      </w:r>
    </w:p>
    <w:p w:rsid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​</w:t>
      </w:r>
    </w:p>
    <w:p w:rsidR="00D22881" w:rsidRDefault="00D22881" w:rsidP="00D2288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D22881" w:rsidRDefault="00D22881" w:rsidP="00D22881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val="ru-RU"/>
        </w:rPr>
        <w:lastRenderedPageBreak/>
        <w:t>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План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роботи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запобігання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та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протидії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у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на 2020/2021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н.р</w:t>
      </w:r>
      <w:proofErr w:type="spellEnd"/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bdr w:val="none" w:sz="0" w:space="0" w:color="auto" w:frame="1"/>
        </w:rPr>
        <w:t> 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1.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Ознайомлення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 новинками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літератури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медіафайлами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розповсюдженими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у </w:t>
      </w:r>
      <w:proofErr w:type="spellStart"/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мережі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щодо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питань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запобігання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).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2.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Обговорення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актуальне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питання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протидії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на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загальних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збору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колективу</w:t>
      </w:r>
      <w:proofErr w:type="spellEnd"/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3.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Оновлення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складу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комісії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питань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запобігання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цькува</w:t>
      </w:r>
      <w:r w:rsidR="00C25B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ння</w:t>
      </w:r>
      <w:proofErr w:type="spellEnd"/>
      <w:r w:rsidR="00C25B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)у</w:t>
      </w:r>
      <w:proofErr w:type="gramEnd"/>
      <w:r w:rsidR="00C25B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="00C25B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дитячому</w:t>
      </w:r>
      <w:proofErr w:type="spellEnd"/>
      <w:r w:rsidR="00C25B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садку</w:t>
      </w:r>
    </w:p>
    <w:p w:rsidR="00C25BCE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​4.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Організація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конкурсу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малюнка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серед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старших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дошкільників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їхніх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батьків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Маленька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розповідь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про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велику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дружбу»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5. </w:t>
      </w:r>
      <w:proofErr w:type="spellStart"/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Видача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наказу</w:t>
      </w:r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оновлення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положення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про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запобігання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="00C25B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="00C25B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дитячому</w:t>
      </w:r>
      <w:proofErr w:type="spellEnd"/>
      <w:r w:rsidR="00C25BC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садку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​6.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Забезпечення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морально-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безпечного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простору,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формування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позитивного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мікроклімату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толерантної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між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особистісної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взаємодії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ході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7.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Розробка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буклетів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Захистимо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»</w:t>
      </w:r>
    </w:p>
    <w:p w:rsidR="00D22881" w:rsidRPr="003D44F3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228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Організація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перегляду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мультиплікаційних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фільмів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читання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казок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проведення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бесід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відповідної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спрямованості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</w:t>
      </w:r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вихованцями</w:t>
      </w:r>
      <w:proofErr w:type="spellEnd"/>
      <w:r w:rsidRPr="003D44F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9.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Організація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конкурсу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малюнків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«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Дружити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й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товаришувати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отже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настрій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добрий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»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10.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Інформаційна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робота 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батьківською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громадськістю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через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Вайбер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групи</w:t>
      </w:r>
      <w:proofErr w:type="spellEnd"/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11.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Розробка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підбір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використання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роботі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дидактичних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ігор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 морально-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етичного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дошкільників</w:t>
      </w:r>
      <w:proofErr w:type="spellEnd"/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12.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Анкетування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учасників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батьків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)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13.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Проведення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Батьківських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зборів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 темою «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здорових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стосунків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може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допомогти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зупинити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»</w:t>
      </w:r>
    </w:p>
    <w:p w:rsidR="00D22881" w:rsidRPr="00C25BCE" w:rsidRDefault="00D22881" w:rsidP="00C25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 xml:space="preserve">Правила </w:t>
      </w:r>
      <w:proofErr w:type="spellStart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поведінки</w:t>
      </w:r>
      <w:proofErr w:type="spellEnd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здобувача</w:t>
      </w:r>
      <w:proofErr w:type="spellEnd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Поважати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гідність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права,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свободи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законні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інтереси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всіх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учасників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дотримуватися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етичних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норм;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Приходити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 закладу</w:t>
      </w:r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дошкільної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пізніше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8.00.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приносити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(в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групу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пігулки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запальнички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колючі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ріжучі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предмети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монети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продукти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харчування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іграшки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жувальну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гумку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Дотримуватися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правил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гігієни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гратися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 предметами,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призначені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В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приміщенні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групі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)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дотримуватися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правил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дисципліни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Вирішувати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конфлікти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іншими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вихованцями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мирним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шляхом;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брати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без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дозволу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чужі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речі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Слухатися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педагогів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бути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активними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заняттях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lastRenderedPageBreak/>
        <w:t xml:space="preserve">На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прогулянці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вибігати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межі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майданчика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бруднити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одяг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C25BCE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Берегти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майно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дитячого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садка</w:t>
      </w:r>
      <w:r w:rsidR="00D22881"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 w:rsidR="00D22881"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обладнання</w:t>
      </w:r>
      <w:proofErr w:type="spellEnd"/>
      <w:r w:rsidR="00D22881"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D22881"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посібники</w:t>
      </w:r>
      <w:proofErr w:type="spellEnd"/>
      <w:r w:rsidR="00D22881"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="00D22881"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іграшки</w:t>
      </w:r>
      <w:proofErr w:type="spellEnd"/>
      <w:r w:rsidR="00D22881"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;</w:t>
      </w:r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Старші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вихованці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повинні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слідкувати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 станом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свого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одягу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за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своїм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виглядом</w:t>
      </w:r>
      <w:proofErr w:type="spellEnd"/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Звертатися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вихователя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при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больових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відчуттях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(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) 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іншими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проханнями</w:t>
      </w:r>
      <w:proofErr w:type="spellEnd"/>
    </w:p>
    <w:p w:rsidR="00D22881" w:rsidRPr="00D22881" w:rsidRDefault="00D22881" w:rsidP="00D22881">
      <w:pPr>
        <w:numPr>
          <w:ilvl w:val="0"/>
          <w:numId w:val="7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Вихованець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повинен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повідомити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вихователю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директору,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якщо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його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образила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інша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дитина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або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працівник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закладу.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5BCE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</w:pPr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Заходи,</w:t>
      </w:r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  <w:t> </w:t>
      </w:r>
      <w:proofErr w:type="spellStart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спрямовані</w:t>
      </w:r>
      <w:proofErr w:type="spellEnd"/>
      <w:r w:rsidR="00C25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 xml:space="preserve">на </w:t>
      </w:r>
      <w:proofErr w:type="spellStart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запобігання</w:t>
      </w:r>
      <w:proofErr w:type="spellEnd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proofErr w:type="gramStart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протидію</w:t>
      </w:r>
      <w:proofErr w:type="spellEnd"/>
      <w:r w:rsidR="00C25B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proofErr w:type="gramEnd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 xml:space="preserve"> (</w:t>
      </w:r>
      <w:proofErr w:type="spellStart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цькуванню</w:t>
      </w:r>
      <w:proofErr w:type="spellEnd"/>
      <w:r w:rsidRPr="00C25BCE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val="ru-RU"/>
        </w:rPr>
        <w:t>)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1.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Створювати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безпечне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освітнє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середовище,вільне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насильства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2.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Проводити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інформаційну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роботу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серед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учасників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освітнього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процесу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питання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запобігання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3.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Надавати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соціальну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психолого-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педагогічну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допомогу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здобувачам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які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вчинили </w:t>
      </w:r>
      <w:proofErr w:type="spellStart"/>
      <w:proofErr w:type="gram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булінг,стали</w:t>
      </w:r>
      <w:proofErr w:type="spellEnd"/>
      <w:proofErr w:type="gram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свідком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постраждалими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4.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Своєчасно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реагувати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на заяви про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випадки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булінгу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закладі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/>
        </w:rPr>
        <w:t>​</w:t>
      </w:r>
    </w:p>
    <w:p w:rsidR="00D22881" w:rsidRPr="003D44F3" w:rsidRDefault="00D22881" w:rsidP="003D4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​</w:t>
      </w:r>
      <w:r w:rsidR="003D44F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Пам’ятка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 xml:space="preserve"> для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ru-RU"/>
        </w:rPr>
        <w:t>батьків</w:t>
      </w:r>
      <w:proofErr w:type="spellEnd"/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1.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Поводьтеся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так,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щоб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відчували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себе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зігрітими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любов'ю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й росли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здатними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дарувати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любов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2.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Забезпечте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чіткий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режим і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змістовне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життя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сприятиме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формуванню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позитивних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звичок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3.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Хваліть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за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старанність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і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докладені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зусилля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а не за результат.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Тоді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боятимуться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помилок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і охоче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набуватимуть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нового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досвіду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4.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Прищеплюйте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правильне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ставлення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успіху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й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невдачі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: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успіх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- результат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праці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старанності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невдача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крок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успіху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5.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Спілкуйтеся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мудро й толерантно.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Кожна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дитина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має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відчувати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її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приймаєте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розумієте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6.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Виховуйте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оптимістичне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ставлення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життя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Що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оптимістичніша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дитина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то вона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щасливіша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7.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Довіряйте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дітям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Завжди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цікавтеся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їхньою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думкою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Коли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відчувають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довіру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то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намагаються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виправдати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сподівання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8.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Спілкуйтеся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взаємодійте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рівних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При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цьому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зважайте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на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вік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їхній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життєвий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досвід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9.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Уникайте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кепкування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грубощів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не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принижуйте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гідність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дітей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Спонукайте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доброзичливо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ставитися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до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інших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10.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Будьте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послідовними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у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своїх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вимогах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. Перш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ніж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висували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їх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,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упевніться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в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справедливості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 xml:space="preserve"> та </w:t>
      </w:r>
      <w:proofErr w:type="spellStart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обґрунтованості</w:t>
      </w:r>
      <w:proofErr w:type="spellEnd"/>
      <w:r w:rsidRPr="00D228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  <w:t>.</w:t>
      </w:r>
      <w:r w:rsidRPr="00D22881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D228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22881" w:rsidRPr="003D44F3" w:rsidRDefault="00D22881" w:rsidP="003D44F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D228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3D44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           </w:t>
      </w:r>
      <w:bookmarkStart w:id="0" w:name="_GoBack"/>
      <w:bookmarkEnd w:id="0"/>
      <w:proofErr w:type="spellStart"/>
      <w:r w:rsidRPr="00C25BCE">
        <w:rPr>
          <w:rFonts w:ascii="Times New Roman" w:eastAsia="Times New Roman" w:hAnsi="Times New Roman" w:cs="Times New Roman"/>
          <w:b/>
          <w:color w:val="0AA605"/>
          <w:sz w:val="32"/>
          <w:szCs w:val="32"/>
          <w:bdr w:val="none" w:sz="0" w:space="0" w:color="auto" w:frame="1"/>
          <w:lang w:val="ru-RU"/>
        </w:rPr>
        <w:t>Поради</w:t>
      </w:r>
      <w:proofErr w:type="spellEnd"/>
      <w:r w:rsidRPr="00C25BCE">
        <w:rPr>
          <w:rFonts w:ascii="Times New Roman" w:eastAsia="Times New Roman" w:hAnsi="Times New Roman" w:cs="Times New Roman"/>
          <w:b/>
          <w:color w:val="0AA605"/>
          <w:sz w:val="32"/>
          <w:szCs w:val="32"/>
          <w:bdr w:val="none" w:sz="0" w:space="0" w:color="auto" w:frame="1"/>
          <w:lang w:val="ru-RU"/>
        </w:rPr>
        <w:t xml:space="preserve"> батькам:</w:t>
      </w:r>
    </w:p>
    <w:p w:rsidR="00D22881" w:rsidRPr="00C25BCE" w:rsidRDefault="00D22881" w:rsidP="00C25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br/>
      </w:r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ЯКЩО Ви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бачите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(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чуєте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),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що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дитину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б’ють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,</w:t>
      </w:r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br/>
        <w:t xml:space="preserve">але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бажаєте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зберегти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анонімність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:</w:t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br/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ТЕЛЕФОНУЙТЕ</w:t>
      </w:r>
    </w:p>
    <w:p w:rsidR="00D22881" w:rsidRPr="00C25BCE" w:rsidRDefault="00D22881" w:rsidP="00C25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на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національну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дитячу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 «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гарячу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»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лінію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.</w:t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br/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Інформацію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передають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в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державні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органи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для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подальшої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перевірки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та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реагування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.</w:t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br/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Також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ви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можете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отримати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психологічну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чи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правову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консультацію,та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зрозуміти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як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діяти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в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конкретній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ситуації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D22DE"/>
          <w:sz w:val="32"/>
          <w:szCs w:val="32"/>
          <w:bdr w:val="none" w:sz="0" w:space="0" w:color="auto" w:frame="1"/>
          <w:lang w:val="ru-RU"/>
        </w:rPr>
        <w:t>.</w:t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br/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Не будьте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байдужими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.</w:t>
      </w: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br/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Кожна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дитина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має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 право на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захист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!</w:t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br/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Дитяча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лінія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116 111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або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 0 800 500 225</w:t>
      </w:r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(з 12.00 до 16.00);</w:t>
      </w:r>
    </w:p>
    <w:p w:rsidR="00D22881" w:rsidRPr="00C25BCE" w:rsidRDefault="00D22881" w:rsidP="00C25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Гаряча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телефонна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лінія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щодо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булінгу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116 000;</w:t>
      </w:r>
    </w:p>
    <w:p w:rsidR="00D22881" w:rsidRPr="00C25BCE" w:rsidRDefault="00D22881" w:rsidP="00C25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Гаряча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лінія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з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питань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запобігання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насильству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116 123</w:t>
      </w:r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або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 xml:space="preserve"> 0 800 500 335;</w:t>
      </w:r>
    </w:p>
    <w:p w:rsidR="00D22881" w:rsidRPr="00C25BCE" w:rsidRDefault="00D22881" w:rsidP="00C25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 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Уповноважений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Верховної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Ради</w:t>
      </w:r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з прав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людини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0 800 50 17 20;</w:t>
      </w:r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Уповноважений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Президента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України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з прав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дитини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044 255 76 75;</w:t>
      </w:r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Центр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надання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безоплатної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правової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  <w:lang w:val="ru-RU"/>
        </w:rPr>
        <w:t>допомоги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  <w:lang w:val="ru-RU"/>
        </w:rPr>
        <w:t>0 800 213 103;</w:t>
      </w:r>
    </w:p>
    <w:p w:rsidR="00D22881" w:rsidRPr="00C25BCE" w:rsidRDefault="00D22881" w:rsidP="00C25B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 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</w:rPr>
        <w:t>Національна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</w:rPr>
        <w:t>поліція</w:t>
      </w:r>
      <w:proofErr w:type="spellEnd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25BCE">
        <w:rPr>
          <w:rFonts w:ascii="Times New Roman" w:eastAsia="Times New Roman" w:hAnsi="Times New Roman" w:cs="Times New Roman"/>
          <w:b/>
          <w:bCs/>
          <w:color w:val="E83613"/>
          <w:sz w:val="32"/>
          <w:szCs w:val="32"/>
          <w:bdr w:val="none" w:sz="0" w:space="0" w:color="auto" w:frame="1"/>
        </w:rPr>
        <w:t>України</w:t>
      </w:r>
      <w:proofErr w:type="spellEnd"/>
    </w:p>
    <w:p w:rsidR="00D22881" w:rsidRPr="00C25BCE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C25BCE">
        <w:rPr>
          <w:rFonts w:ascii="Times New Roman" w:eastAsia="Times New Roman" w:hAnsi="Times New Roman" w:cs="Times New Roman"/>
          <w:b/>
          <w:bCs/>
          <w:color w:val="0AA605"/>
          <w:sz w:val="32"/>
          <w:szCs w:val="32"/>
          <w:bdr w:val="none" w:sz="0" w:space="0" w:color="auto" w:frame="1"/>
        </w:rPr>
        <w:t>102.</w:t>
      </w:r>
      <w:r w:rsidRPr="00C25BC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  <w:t> 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881">
        <w:rPr>
          <w:rFonts w:ascii="Times New Roman" w:eastAsia="Times New Roman" w:hAnsi="Times New Roman" w:cs="Times New Roman"/>
          <w:b/>
          <w:bCs/>
          <w:color w:val="E83613"/>
          <w:sz w:val="28"/>
          <w:szCs w:val="28"/>
          <w:bdr w:val="none" w:sz="0" w:space="0" w:color="auto" w:frame="1"/>
        </w:rPr>
        <w:t>​</w:t>
      </w:r>
    </w:p>
    <w:p w:rsidR="00D22881" w:rsidRPr="00D22881" w:rsidRDefault="00D22881" w:rsidP="00D2288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881">
        <w:rPr>
          <w:rFonts w:ascii="Times New Roman" w:eastAsia="Times New Roman" w:hAnsi="Times New Roman" w:cs="Times New Roman"/>
          <w:b/>
          <w:bCs/>
          <w:color w:val="E83613"/>
          <w:sz w:val="28"/>
          <w:szCs w:val="28"/>
          <w:bdr w:val="none" w:sz="0" w:space="0" w:color="auto" w:frame="1"/>
        </w:rPr>
        <w:t>​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881">
        <w:rPr>
          <w:rFonts w:ascii="Times New Roman" w:eastAsia="Times New Roman" w:hAnsi="Times New Roman" w:cs="Times New Roman"/>
          <w:b/>
          <w:bCs/>
          <w:color w:val="E83613"/>
          <w:sz w:val="28"/>
          <w:szCs w:val="28"/>
          <w:bdr w:val="none" w:sz="0" w:space="0" w:color="auto" w:frame="1"/>
        </w:rPr>
        <w:t>​</w:t>
      </w:r>
    </w:p>
    <w:p w:rsidR="00D22881" w:rsidRPr="00D22881" w:rsidRDefault="00D22881" w:rsidP="00D2288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22881">
        <w:rPr>
          <w:rFonts w:ascii="Times New Roman" w:eastAsia="Times New Roman" w:hAnsi="Times New Roman" w:cs="Times New Roman"/>
          <w:b/>
          <w:bCs/>
          <w:color w:val="E83613"/>
          <w:sz w:val="28"/>
          <w:szCs w:val="28"/>
          <w:bdr w:val="none" w:sz="0" w:space="0" w:color="auto" w:frame="1"/>
        </w:rPr>
        <w:t>​</w:t>
      </w:r>
    </w:p>
    <w:p w:rsidR="0018576C" w:rsidRPr="00D22881" w:rsidRDefault="0018576C">
      <w:pPr>
        <w:rPr>
          <w:rFonts w:ascii="Times New Roman" w:hAnsi="Times New Roman" w:cs="Times New Roman"/>
          <w:b/>
          <w:sz w:val="28"/>
          <w:szCs w:val="28"/>
        </w:rPr>
      </w:pPr>
    </w:p>
    <w:sectPr w:rsidR="0018576C" w:rsidRPr="00D22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4BE8"/>
    <w:multiLevelType w:val="multilevel"/>
    <w:tmpl w:val="B6AC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230E6"/>
    <w:multiLevelType w:val="multilevel"/>
    <w:tmpl w:val="3E38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0348D"/>
    <w:multiLevelType w:val="multilevel"/>
    <w:tmpl w:val="A3EC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561E99"/>
    <w:multiLevelType w:val="multilevel"/>
    <w:tmpl w:val="054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AC7566"/>
    <w:multiLevelType w:val="multilevel"/>
    <w:tmpl w:val="4F5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A93B23"/>
    <w:multiLevelType w:val="multilevel"/>
    <w:tmpl w:val="E14E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524D4"/>
    <w:multiLevelType w:val="multilevel"/>
    <w:tmpl w:val="1DA4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0F"/>
    <w:rsid w:val="0018576C"/>
    <w:rsid w:val="003D44F3"/>
    <w:rsid w:val="00C25BCE"/>
    <w:rsid w:val="00C6040F"/>
    <w:rsid w:val="00D2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D8D6"/>
  <w15:chartTrackingRefBased/>
  <w15:docId w15:val="{3A6A7040-6DAA-4E64-A54B-3F3A3E1E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4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2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6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0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37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2021-02-25T12:40:00Z</cp:lastPrinted>
  <dcterms:created xsi:type="dcterms:W3CDTF">2021-02-25T12:23:00Z</dcterms:created>
  <dcterms:modified xsi:type="dcterms:W3CDTF">2021-02-25T12:48:00Z</dcterms:modified>
</cp:coreProperties>
</file>